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CAC9A3" w14:textId="77777777" w:rsidR="00293C8B" w:rsidRPr="00063369" w:rsidRDefault="00293C8B" w:rsidP="00293C8B">
      <w:pPr>
        <w:ind w:firstLine="708"/>
        <w:jc w:val="right"/>
        <w:rPr>
          <w:rFonts w:asciiTheme="majorHAnsi" w:hAnsiTheme="majorHAnsi" w:cstheme="majorHAnsi"/>
          <w:szCs w:val="24"/>
        </w:rPr>
      </w:pPr>
      <w:r w:rsidRPr="00063369">
        <w:rPr>
          <w:rFonts w:asciiTheme="majorHAnsi" w:hAnsiTheme="majorHAnsi" w:cstheme="majorHAnsi"/>
          <w:szCs w:val="24"/>
        </w:rPr>
        <w:t>Presidente del Consiglio Comunale</w:t>
      </w:r>
    </w:p>
    <w:p w14:paraId="39A6787D" w14:textId="77777777" w:rsidR="00293C8B" w:rsidRPr="00063369" w:rsidRDefault="00293C8B" w:rsidP="00293C8B">
      <w:pPr>
        <w:ind w:firstLine="708"/>
        <w:jc w:val="right"/>
        <w:rPr>
          <w:rFonts w:asciiTheme="majorHAnsi" w:hAnsiTheme="majorHAnsi" w:cstheme="majorHAnsi"/>
          <w:b/>
          <w:szCs w:val="24"/>
        </w:rPr>
      </w:pPr>
      <w:proofErr w:type="gramStart"/>
      <w:r w:rsidRPr="00063369">
        <w:rPr>
          <w:rFonts w:asciiTheme="majorHAnsi" w:hAnsiTheme="majorHAnsi" w:cstheme="majorHAnsi"/>
          <w:b/>
          <w:szCs w:val="24"/>
        </w:rPr>
        <w:t>Roberto  Santangelo</w:t>
      </w:r>
      <w:proofErr w:type="gramEnd"/>
    </w:p>
    <w:p w14:paraId="42691A11" w14:textId="77777777" w:rsidR="00293C8B" w:rsidRPr="00063369" w:rsidRDefault="00293C8B" w:rsidP="00293C8B">
      <w:pPr>
        <w:ind w:firstLine="708"/>
        <w:jc w:val="right"/>
        <w:rPr>
          <w:rFonts w:asciiTheme="majorHAnsi" w:hAnsiTheme="majorHAnsi" w:cstheme="majorHAnsi"/>
          <w:szCs w:val="24"/>
        </w:rPr>
      </w:pPr>
    </w:p>
    <w:p w14:paraId="5519E307" w14:textId="77777777" w:rsidR="00293C8B" w:rsidRPr="00063369" w:rsidRDefault="00293C8B" w:rsidP="00293C8B">
      <w:pPr>
        <w:ind w:firstLine="708"/>
        <w:jc w:val="right"/>
        <w:rPr>
          <w:rFonts w:asciiTheme="majorHAnsi" w:hAnsiTheme="majorHAnsi" w:cstheme="majorHAnsi"/>
          <w:szCs w:val="24"/>
        </w:rPr>
      </w:pPr>
      <w:r w:rsidRPr="00063369">
        <w:rPr>
          <w:rFonts w:asciiTheme="majorHAnsi" w:hAnsiTheme="majorHAnsi" w:cstheme="majorHAnsi"/>
          <w:szCs w:val="24"/>
        </w:rPr>
        <w:t>E p.o.c.                                  Sindaco dell’Aquila</w:t>
      </w:r>
    </w:p>
    <w:p w14:paraId="5D27701D" w14:textId="77777777" w:rsidR="00293C8B" w:rsidRPr="00063369" w:rsidRDefault="00293C8B" w:rsidP="00293C8B">
      <w:pPr>
        <w:ind w:firstLine="708"/>
        <w:jc w:val="right"/>
        <w:rPr>
          <w:rFonts w:asciiTheme="majorHAnsi" w:hAnsiTheme="majorHAnsi" w:cstheme="majorHAnsi"/>
          <w:b/>
          <w:szCs w:val="24"/>
        </w:rPr>
      </w:pPr>
      <w:r w:rsidRPr="00063369">
        <w:rPr>
          <w:rFonts w:asciiTheme="majorHAnsi" w:hAnsiTheme="majorHAnsi" w:cstheme="majorHAnsi"/>
          <w:b/>
          <w:szCs w:val="24"/>
        </w:rPr>
        <w:t>Pierluigi Biondi</w:t>
      </w:r>
    </w:p>
    <w:p w14:paraId="4D04E9F1" w14:textId="77777777" w:rsidR="00293C8B" w:rsidRPr="00063369" w:rsidRDefault="00293C8B" w:rsidP="00293C8B">
      <w:pPr>
        <w:ind w:firstLine="708"/>
        <w:jc w:val="right"/>
        <w:rPr>
          <w:rFonts w:asciiTheme="majorHAnsi" w:hAnsiTheme="majorHAnsi" w:cstheme="majorHAnsi"/>
          <w:b/>
          <w:szCs w:val="24"/>
        </w:rPr>
      </w:pPr>
    </w:p>
    <w:p w14:paraId="508FA17C" w14:textId="77777777" w:rsidR="00293C8B" w:rsidRPr="00063369" w:rsidRDefault="00293C8B" w:rsidP="00293C8B">
      <w:pPr>
        <w:ind w:firstLine="708"/>
        <w:jc w:val="right"/>
        <w:rPr>
          <w:rFonts w:asciiTheme="majorHAnsi" w:hAnsiTheme="majorHAnsi" w:cstheme="majorHAnsi"/>
          <w:szCs w:val="24"/>
        </w:rPr>
      </w:pPr>
      <w:r w:rsidRPr="00063369">
        <w:rPr>
          <w:rFonts w:asciiTheme="majorHAnsi" w:hAnsiTheme="majorHAnsi" w:cstheme="majorHAnsi"/>
          <w:szCs w:val="24"/>
        </w:rPr>
        <w:t>LL.SS.</w:t>
      </w:r>
    </w:p>
    <w:p w14:paraId="3132F135"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0A5C4BF5"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r w:rsidRPr="00063369">
        <w:rPr>
          <w:rFonts w:asciiTheme="majorHAnsi" w:eastAsia="Times New Roman" w:hAnsiTheme="majorHAnsi" w:cstheme="majorHAnsi"/>
          <w:b/>
          <w:bCs/>
          <w:szCs w:val="24"/>
          <w:lang w:eastAsia="it-IT"/>
        </w:rPr>
        <w:t xml:space="preserve">Oggetto: ORDINE DEL GIORNO URGENTE inerente </w:t>
      </w:r>
      <w:proofErr w:type="gramStart"/>
      <w:r w:rsidRPr="00063369">
        <w:rPr>
          <w:rFonts w:asciiTheme="majorHAnsi" w:eastAsia="Times New Roman" w:hAnsiTheme="majorHAnsi" w:cstheme="majorHAnsi"/>
          <w:b/>
          <w:bCs/>
          <w:szCs w:val="24"/>
          <w:lang w:eastAsia="it-IT"/>
        </w:rPr>
        <w:t>il</w:t>
      </w:r>
      <w:proofErr w:type="gramEnd"/>
      <w:r w:rsidRPr="00063369">
        <w:rPr>
          <w:rFonts w:asciiTheme="majorHAnsi" w:eastAsia="Times New Roman" w:hAnsiTheme="majorHAnsi" w:cstheme="majorHAnsi"/>
          <w:b/>
          <w:bCs/>
          <w:szCs w:val="24"/>
          <w:lang w:eastAsia="it-IT"/>
        </w:rPr>
        <w:t xml:space="preserve"> DECLASSAMENTO DELL’UFFICIO DELLE DOGANE DELL'AQUILA</w:t>
      </w:r>
    </w:p>
    <w:p w14:paraId="11DAB758"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0EB86D6F"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r w:rsidRPr="00063369">
        <w:rPr>
          <w:rFonts w:asciiTheme="majorHAnsi" w:eastAsia="Times New Roman" w:hAnsiTheme="majorHAnsi" w:cstheme="majorHAnsi"/>
          <w:b/>
          <w:bCs/>
          <w:szCs w:val="24"/>
          <w:lang w:eastAsia="it-IT"/>
        </w:rPr>
        <w:t>PREMESSO CHE</w:t>
      </w:r>
    </w:p>
    <w:p w14:paraId="544AF338"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5A619883" w14:textId="77777777" w:rsidR="00293C8B" w:rsidRPr="00063369" w:rsidRDefault="00293C8B" w:rsidP="00293C8B">
      <w:pPr>
        <w:pStyle w:val="Paragrafoelenco"/>
        <w:numPr>
          <w:ilvl w:val="0"/>
          <w:numId w:val="2"/>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Nella Regione Abruzzo sono presenti TRE Uffici Dirigenziali dell'Agenzia delle Dogane e dei Monopoli:</w:t>
      </w:r>
    </w:p>
    <w:p w14:paraId="6D24CC61"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37C18991" w14:textId="77777777" w:rsidR="00293C8B" w:rsidRPr="00063369" w:rsidRDefault="00293C8B" w:rsidP="00293C8B">
      <w:pPr>
        <w:pStyle w:val="Paragrafoelenco"/>
        <w:numPr>
          <w:ilvl w:val="0"/>
          <w:numId w:val="3"/>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Ufficio delle Dogane dell'Aquila, con sede </w:t>
      </w:r>
      <w:proofErr w:type="gramStart"/>
      <w:r w:rsidRPr="00063369">
        <w:rPr>
          <w:rFonts w:asciiTheme="majorHAnsi" w:eastAsia="Times New Roman" w:hAnsiTheme="majorHAnsi" w:cstheme="majorHAnsi"/>
          <w:bCs/>
        </w:rPr>
        <w:t>in L'Aquila</w:t>
      </w:r>
      <w:proofErr w:type="gramEnd"/>
      <w:r w:rsidRPr="00063369">
        <w:rPr>
          <w:rFonts w:asciiTheme="majorHAnsi" w:eastAsia="Times New Roman" w:hAnsiTheme="majorHAnsi" w:cstheme="majorHAnsi"/>
          <w:bCs/>
        </w:rPr>
        <w:t xml:space="preserve"> e competenze sulla Provincia dell'Aquila;</w:t>
      </w:r>
    </w:p>
    <w:p w14:paraId="16C761E9"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7A03E023" w14:textId="77777777" w:rsidR="00293C8B" w:rsidRPr="00063369" w:rsidRDefault="00293C8B" w:rsidP="00293C8B">
      <w:pPr>
        <w:pStyle w:val="Paragrafoelenco"/>
        <w:numPr>
          <w:ilvl w:val="0"/>
          <w:numId w:val="3"/>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Ufficio delle Dogane di Pescara, con sede in Pescara e con competenze sulle Province di Pescara, Chieti e Teramo;</w:t>
      </w:r>
    </w:p>
    <w:p w14:paraId="01BA9D46"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6F3031F6" w14:textId="77777777" w:rsidR="00293C8B" w:rsidRPr="00063369" w:rsidRDefault="00293C8B" w:rsidP="00293C8B">
      <w:pPr>
        <w:pStyle w:val="Paragrafoelenco"/>
        <w:numPr>
          <w:ilvl w:val="0"/>
          <w:numId w:val="3"/>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Ufficio del Monopoli per l'Abruzzo, con sede in Pescara;</w:t>
      </w:r>
    </w:p>
    <w:p w14:paraId="26F998AA"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50628AB2" w14:textId="77777777" w:rsidR="00293C8B" w:rsidRPr="00063369" w:rsidRDefault="00293C8B" w:rsidP="00293C8B">
      <w:pPr>
        <w:pStyle w:val="Paragrafoelenco"/>
        <w:numPr>
          <w:ilvl w:val="0"/>
          <w:numId w:val="4"/>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In data 06 giugno 2022, la Fondazione Carispaq, proprietaria del Palazzo Alferi De Torres, sito in Piazza Santa Giusta all'Aquila, ha concesso in locazione l'intero immobile in favore dell'Agenzia delle Dogane e dei Monopoli, per destinarlo a sede degli Uffici dell'Agenzia, di un laboratorio chimico e di un centro per la formazione a supporto dell'attività istituzionale dell'Ente;</w:t>
      </w:r>
    </w:p>
    <w:p w14:paraId="6F6FBFCE"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2D1E2651" w14:textId="77777777" w:rsidR="00293C8B" w:rsidRPr="00063369" w:rsidRDefault="00293C8B" w:rsidP="00293C8B">
      <w:pPr>
        <w:pStyle w:val="Paragrafoelenco"/>
        <w:numPr>
          <w:ilvl w:val="0"/>
          <w:numId w:val="4"/>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La sottoscrizione dell'accordo con la Fondazione Carispaq è stato un momento significativo per la realizzazione del progetto dell'Agenzia delle Dogane e del Monopoli con l'obbiettivo di riportare sul territorio i servizi a favore delle aziende e dei cittadini; in questo quadro L'Aquila rappresenta un investimento importante con l'avvio di attività ulteriori che garantiscono alla città una centralità istituzionale a livello statale;</w:t>
      </w:r>
    </w:p>
    <w:p w14:paraId="78B0BB3A"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2F0B9D0D" w14:textId="77777777" w:rsidR="00293C8B" w:rsidRPr="00063369" w:rsidRDefault="00293C8B" w:rsidP="00293C8B">
      <w:pPr>
        <w:pStyle w:val="Paragrafoelenco"/>
        <w:numPr>
          <w:ilvl w:val="0"/>
          <w:numId w:val="4"/>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In data 06 </w:t>
      </w:r>
      <w:proofErr w:type="gramStart"/>
      <w:r w:rsidRPr="00063369">
        <w:rPr>
          <w:rFonts w:asciiTheme="majorHAnsi" w:eastAsia="Times New Roman" w:hAnsiTheme="majorHAnsi" w:cstheme="majorHAnsi"/>
          <w:bCs/>
        </w:rPr>
        <w:t>Febbraio</w:t>
      </w:r>
      <w:proofErr w:type="gramEnd"/>
      <w:r w:rsidRPr="00063369">
        <w:rPr>
          <w:rFonts w:asciiTheme="majorHAnsi" w:eastAsia="Times New Roman" w:hAnsiTheme="majorHAnsi" w:cstheme="majorHAnsi"/>
          <w:bCs/>
        </w:rPr>
        <w:t xml:space="preserve"> us, Il Sindaco Pierluigi Biondi ed Il Senatore Guido Quintino Liris, ricevuti dall'attuale Direttore dell'Agenzia delle Dogane e dei Monopoli, Roberto Alesse, richiedevano conferma delle prerogative funzionali e territoriali per la città dell'Aquila, stante le voci su un possibile declassamento dell'Ufficio delle Dogane dell'Aquila;</w:t>
      </w:r>
    </w:p>
    <w:p w14:paraId="6B94D4A9"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47AF4889" w14:textId="77777777" w:rsidR="00293C8B" w:rsidRPr="00063369" w:rsidRDefault="00293C8B" w:rsidP="00293C8B">
      <w:pPr>
        <w:pStyle w:val="Paragrafoelenco"/>
        <w:numPr>
          <w:ilvl w:val="0"/>
          <w:numId w:val="4"/>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lastRenderedPageBreak/>
        <w:t>Lo scorso 22 marzo è stata approvata dall'Agenzia delle Dogane e dei Monopoli la riforma dell'intera Amministrazione finanziaria, in applicazione del Titolo V della Costituzione e dei principi di sussidiarietà, differenziazione e adeguatezza che prevedono la valorizzazione del territorio; riforma, attuativa di un decreto del 2012, che ha disposto l'incorporazione dell'Amministrazione autonoma dei Monopoli di Stato nell'Agenzia delle dogane e ha, in sostanza, avviato la fusione degli uffici delle Dogane e dei Monopoli presenti sul territorio e fino a oggi rimasti separati per competenze;</w:t>
      </w:r>
    </w:p>
    <w:p w14:paraId="2A7E9466"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550FE4B8" w14:textId="77777777" w:rsidR="00293C8B" w:rsidRPr="00063369" w:rsidRDefault="00293C8B" w:rsidP="00293C8B">
      <w:pPr>
        <w:pStyle w:val="Paragrafoelenco"/>
        <w:numPr>
          <w:ilvl w:val="0"/>
          <w:numId w:val="4"/>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 Dalla lettura del testo della riforma emergerebbe come L'Aquila, e l'intero Abruzzo, siano tra i territori più penalizzati da tale riforma: l'Abruzzo, con 4 Province, vede attribuirsi SOLTANTO un UADM (Ufficio Accise, Dogane e Monopoli) di livello dirigenziale sebbene risulti una regione più popolosa, di estensione geografica ben maggiore e con una conformazione morfologica più diversificata rispetto, ad esempio, all'Umbria, il Molise o la Basilicata che presentano, parimenti, un UADM, ma che contano soltanto 2 Province; L'Aquila, in quanto UNICO capoluogo di Regione a non vedersi riconosciuto neanche un UADM e ad ottenere soltanto un Ufficio Dirigenziale (Antifrode Abruzzo), previsto, tra l'altro, per ogni Regione</w:t>
      </w:r>
    </w:p>
    <w:p w14:paraId="5DC6549D"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1CA8E8D9"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r w:rsidRPr="00063369">
        <w:rPr>
          <w:rFonts w:asciiTheme="majorHAnsi" w:eastAsia="Times New Roman" w:hAnsiTheme="majorHAnsi" w:cstheme="majorHAnsi"/>
          <w:b/>
          <w:bCs/>
          <w:szCs w:val="24"/>
          <w:lang w:eastAsia="it-IT"/>
        </w:rPr>
        <w:t>CONSIDERATO CHE</w:t>
      </w:r>
    </w:p>
    <w:p w14:paraId="16F99032"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7F1D8CF3" w14:textId="77777777" w:rsidR="00293C8B" w:rsidRPr="00063369" w:rsidRDefault="00293C8B" w:rsidP="00293C8B">
      <w:pPr>
        <w:numPr>
          <w:ilvl w:val="0"/>
          <w:numId w:val="9"/>
        </w:numPr>
        <w:autoSpaceDE w:val="0"/>
        <w:autoSpaceDN w:val="0"/>
        <w:adjustRightInd w:val="0"/>
        <w:spacing w:line="240" w:lineRule="auto"/>
        <w:jc w:val="both"/>
        <w:rPr>
          <w:rFonts w:asciiTheme="majorHAnsi" w:eastAsia="Times New Roman" w:hAnsiTheme="majorHAnsi" w:cstheme="majorHAnsi"/>
          <w:bCs/>
          <w:szCs w:val="24"/>
          <w:lang w:eastAsia="it-IT"/>
        </w:rPr>
      </w:pPr>
      <w:r w:rsidRPr="00063369">
        <w:rPr>
          <w:rFonts w:asciiTheme="majorHAnsi" w:eastAsia="Times New Roman" w:hAnsiTheme="majorHAnsi" w:cstheme="majorHAnsi"/>
          <w:bCs/>
          <w:szCs w:val="24"/>
          <w:lang w:eastAsia="it-IT"/>
        </w:rPr>
        <w:t>Con la riforma proposta dall'Agenzia delle Dogane e Monopoli, verranno creati in Abruzzo due Uffici dirigenziali ossia:</w:t>
      </w:r>
    </w:p>
    <w:p w14:paraId="2BB54EB9"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6599E034" w14:textId="77777777" w:rsidR="00293C8B" w:rsidRPr="00063369" w:rsidRDefault="00293C8B" w:rsidP="00293C8B">
      <w:pPr>
        <w:pStyle w:val="Paragrafoelenco"/>
        <w:numPr>
          <w:ilvl w:val="0"/>
          <w:numId w:val="5"/>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UADM Abruzzo con sede in Pescara avente competenza su tutta la Regione nei settori dogane, accise, giochi e tabacchi, su cui saranno convogliate tutte le attività di supporto ed indirette, oltre alla presenza del Dirigente con capacità decisionali. L'attuale Ufficio delle Dogane dell'Aquila sarà quindi declassato e diventerà una sezione territoriale dipendente da Pescara, come Giulianova, Avezzano, Ortona; </w:t>
      </w:r>
    </w:p>
    <w:p w14:paraId="5B3B124A"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04399434" w14:textId="77777777" w:rsidR="00293C8B" w:rsidRPr="00063369" w:rsidRDefault="00293C8B" w:rsidP="00293C8B">
      <w:pPr>
        <w:pStyle w:val="Paragrafoelenco"/>
        <w:numPr>
          <w:ilvl w:val="0"/>
          <w:numId w:val="5"/>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l'Ufficio Antifrode regionale con sede all'Aquila competente per tutta la Regione Abruzzo ma con compiti meramente di indirizzo, supporto, segnalazione e coordinamento degli Uffici Locali.</w:t>
      </w:r>
    </w:p>
    <w:p w14:paraId="2FF730E9"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391C1FF4" w14:textId="77777777" w:rsidR="00293C8B" w:rsidRPr="00063369" w:rsidRDefault="00293C8B" w:rsidP="00293C8B">
      <w:pPr>
        <w:pStyle w:val="Paragrafoelenco"/>
        <w:numPr>
          <w:ilvl w:val="0"/>
          <w:numId w:val="8"/>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i 45 dipendenti attualmente operanti nella provincia dell'Aquila rischierebbero di vedersi dequalificati nello svolgimento di mansioni, con incidenza negativa sulla loro professionalità e vedrebbero ridursi notevolmente competenze e chances di crescita;</w:t>
      </w:r>
    </w:p>
    <w:p w14:paraId="0702AE28"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0CDFF832" w14:textId="77777777" w:rsidR="00293C8B" w:rsidRPr="00063369" w:rsidRDefault="00293C8B" w:rsidP="00293C8B">
      <w:pPr>
        <w:pStyle w:val="Paragrafoelenco"/>
        <w:numPr>
          <w:ilvl w:val="0"/>
          <w:numId w:val="8"/>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Nel caso della Provincia dell'Aquila, inoltre, l'effetto di una siffatta riforma sarebbe quello di allontanare gli operatori dalle istituzioni rendendo per gli stessi sempre più difficile e complicato, In termini di tempistiche e chilometri, instaurare rapporti istituzionali con l'Agenzia delle Dogane.</w:t>
      </w:r>
      <w:r w:rsidRPr="00063369">
        <w:rPr>
          <w:rFonts w:ascii="Tahoma" w:eastAsia="Times New Roman" w:hAnsi="Tahoma" w:cs="Tahoma"/>
          <w:bCs/>
        </w:rPr>
        <w:t> </w:t>
      </w:r>
      <w:r w:rsidRPr="00063369">
        <w:rPr>
          <w:rFonts w:asciiTheme="majorHAnsi" w:eastAsia="Times New Roman" w:hAnsiTheme="majorHAnsi" w:cstheme="majorHAnsi"/>
          <w:bCs/>
        </w:rPr>
        <w:t xml:space="preserve">Si evidenzia, ad esempio, che le attività dirigenziali (emissioni autorizzazioni, pareri, atti accertamento, etc.) ad oggi in capo all'Ufficio delle Dogane dell'Aquila, saranno accentrate presso l'UADM con sede a Pescara, con evidenti </w:t>
      </w:r>
      <w:r w:rsidRPr="00063369">
        <w:rPr>
          <w:rFonts w:asciiTheme="majorHAnsi" w:eastAsia="Times New Roman" w:hAnsiTheme="majorHAnsi" w:cstheme="majorHAnsi"/>
          <w:bCs/>
        </w:rPr>
        <w:lastRenderedPageBreak/>
        <w:t>ripercussioni per tutti gli operatori che saranno costretti a doversi recare a Pescara non solo per poter interloquire con i responsabili dei procedimenti e con il Dirigente, ma anche per eventuali ricorsi presso le Corti di Giustizia Tributaria, Il TAR, etc.</w:t>
      </w:r>
    </w:p>
    <w:p w14:paraId="07414A78"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6ED288D3" w14:textId="77777777" w:rsidR="00293C8B" w:rsidRPr="00063369" w:rsidRDefault="00293C8B" w:rsidP="00293C8B">
      <w:pPr>
        <w:pStyle w:val="Paragrafoelenco"/>
        <w:numPr>
          <w:ilvl w:val="0"/>
          <w:numId w:val="8"/>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A seguito della Riforma, verranno meno le prospettate prerogative funzionali e territoriali per la città dell'Aquila e tale riorganizzazione rischierebbe nel futuro di portare una penalizzazione importante sulla dinamicità e capacità di attrarre nuovi capitali, depotenziando un capoluogo di Regione che con tenacia e serietà sta ricostruendo il proprio tessuto sociale ed economico;</w:t>
      </w:r>
    </w:p>
    <w:p w14:paraId="1DD7FF70"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026F3E0A" w14:textId="77777777" w:rsidR="00293C8B" w:rsidRPr="00063369" w:rsidRDefault="00293C8B" w:rsidP="00293C8B">
      <w:pPr>
        <w:pStyle w:val="Paragrafoelenco"/>
        <w:numPr>
          <w:ilvl w:val="0"/>
          <w:numId w:val="8"/>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sarebbe opportune conoscere i criteri e i parametri che stanno guidando la Riforma per verificarne l'uniformità (in alcune Direzioni Regionali gli Uffici aumentano, in altre diminuiscono o risultano immutati); </w:t>
      </w:r>
    </w:p>
    <w:p w14:paraId="00ABAAA7"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54BE71CE"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r w:rsidRPr="00063369">
        <w:rPr>
          <w:rFonts w:asciiTheme="majorHAnsi" w:eastAsia="Times New Roman" w:hAnsiTheme="majorHAnsi" w:cstheme="majorHAnsi"/>
          <w:b/>
          <w:bCs/>
          <w:szCs w:val="24"/>
          <w:lang w:eastAsia="it-IT"/>
        </w:rPr>
        <w:t xml:space="preserve">RILEVATO CHE </w:t>
      </w:r>
      <w:r w:rsidRPr="00063369">
        <w:rPr>
          <w:rFonts w:asciiTheme="majorHAnsi" w:eastAsia="Times New Roman" w:hAnsiTheme="majorHAnsi" w:cstheme="majorHAnsi"/>
          <w:bCs/>
          <w:szCs w:val="24"/>
          <w:lang w:eastAsia="it-IT"/>
        </w:rPr>
        <w:t>con delibera di consiglio comunale n. 49 del 08.04.2024 è stato approvato all’unanimità un ordine del giorno sottoscritto dai consiglieri comunali Maura Castellani, Livio Vittorini e Paolo Romano che impegnava il sindaco, la Giunta e il Presidente del Consiglio:</w:t>
      </w:r>
    </w:p>
    <w:p w14:paraId="2920D1F6"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6B2380D6" w14:textId="77777777" w:rsidR="00293C8B" w:rsidRPr="00063369" w:rsidRDefault="00293C8B" w:rsidP="00293C8B">
      <w:pPr>
        <w:pStyle w:val="Paragrafoelenco"/>
        <w:numPr>
          <w:ilvl w:val="0"/>
          <w:numId w:val="6"/>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a promuovere congiuntamente al Presidente della Regione Abruzzo, ai Rappresentanti Parlamentari del Territorio, al Presidente della Provincia dell'Aquila, presso le strutture competenti ogni azione utile affinché con la riorganizzazione, già in fase avanzata, venga istituito all'Aquila oltre all'Ufficio Antifrode Regionale anche un UADM, valutando la possibilità di ampliare le relative competenze alla Provincia di Teramo.</w:t>
      </w:r>
    </w:p>
    <w:p w14:paraId="4C1293F8" w14:textId="77777777" w:rsidR="00293C8B" w:rsidRPr="00063369" w:rsidRDefault="00293C8B" w:rsidP="00293C8B">
      <w:pPr>
        <w:pStyle w:val="Paragrafoelenco"/>
        <w:autoSpaceDE w:val="0"/>
        <w:autoSpaceDN w:val="0"/>
        <w:adjustRightInd w:val="0"/>
        <w:jc w:val="both"/>
        <w:rPr>
          <w:rFonts w:asciiTheme="majorHAnsi" w:eastAsia="Times New Roman" w:hAnsiTheme="majorHAnsi" w:cstheme="majorHAnsi"/>
          <w:bCs/>
        </w:rPr>
      </w:pPr>
    </w:p>
    <w:p w14:paraId="7FC35F3E" w14:textId="77777777" w:rsidR="00293C8B" w:rsidRPr="00063369" w:rsidRDefault="00293C8B" w:rsidP="00293C8B">
      <w:pPr>
        <w:pStyle w:val="Paragrafoelenco"/>
        <w:numPr>
          <w:ilvl w:val="0"/>
          <w:numId w:val="6"/>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 xml:space="preserve">a promuovere una conferenza dei capigruppo urgente al fine di dare sostegno e ascolto alle organizzazioni Sindacali sempre più preoccupate sulla riorganizzazione che l’Agenzia vuole mettere in atto. </w:t>
      </w:r>
    </w:p>
    <w:p w14:paraId="0529B8AD"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2C9E6EBC"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r w:rsidRPr="00063369">
        <w:rPr>
          <w:rFonts w:asciiTheme="majorHAnsi" w:eastAsia="Times New Roman" w:hAnsiTheme="majorHAnsi" w:cstheme="majorHAnsi"/>
          <w:b/>
          <w:bCs/>
          <w:szCs w:val="24"/>
          <w:lang w:eastAsia="it-IT"/>
        </w:rPr>
        <w:t xml:space="preserve">RILEVATO CHE </w:t>
      </w:r>
      <w:r w:rsidRPr="00063369">
        <w:rPr>
          <w:rFonts w:asciiTheme="majorHAnsi" w:eastAsia="Times New Roman" w:hAnsiTheme="majorHAnsi" w:cstheme="majorHAnsi"/>
          <w:bCs/>
          <w:szCs w:val="24"/>
          <w:lang w:eastAsia="it-IT"/>
        </w:rPr>
        <w:t xml:space="preserve">è stata promossa una conferenza dei capigruppo in consiglio regionale dove, a fronte dell’audizione dei sindacati, si sono constatate le ripercussioni che corre tanto l’Abruzzo quanto soprattutto la provincia e la città dell’Aquila. Già in quella sede è stata fatto appello a tutte le istituzioni e a tutte le parti in politica a non sottovalutare là riorganizzazione e a utilizzare ogni mezzo politico per modificare l’indirizzo iniziale; </w:t>
      </w:r>
    </w:p>
    <w:p w14:paraId="550AEA60"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1ECE5B0A"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r w:rsidRPr="00063369">
        <w:rPr>
          <w:rFonts w:asciiTheme="majorHAnsi" w:eastAsia="Times New Roman" w:hAnsiTheme="majorHAnsi" w:cstheme="majorHAnsi"/>
          <w:b/>
          <w:bCs/>
          <w:szCs w:val="24"/>
          <w:lang w:eastAsia="it-IT"/>
        </w:rPr>
        <w:t xml:space="preserve">SOTTOLINEATO CHE </w:t>
      </w:r>
      <w:r w:rsidRPr="00063369">
        <w:rPr>
          <w:rFonts w:asciiTheme="majorHAnsi" w:eastAsia="Times New Roman" w:hAnsiTheme="majorHAnsi" w:cstheme="majorHAnsi"/>
          <w:bCs/>
          <w:szCs w:val="24"/>
          <w:lang w:eastAsia="it-IT"/>
        </w:rPr>
        <w:t xml:space="preserve">l’agenzia dei Monopoli e delle Dogane sta andando avanti nella riorganizzazione e ha approvato già le prime delibere propedeutiche; </w:t>
      </w:r>
    </w:p>
    <w:p w14:paraId="6D875344"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7B92403A" w14:textId="0D471C1F" w:rsid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r w:rsidRPr="00063369">
        <w:rPr>
          <w:rFonts w:asciiTheme="majorHAnsi" w:eastAsia="Times New Roman" w:hAnsiTheme="majorHAnsi" w:cstheme="majorHAnsi"/>
          <w:b/>
          <w:bCs/>
          <w:szCs w:val="24"/>
          <w:lang w:eastAsia="it-IT"/>
        </w:rPr>
        <w:t xml:space="preserve">RITENUTO </w:t>
      </w:r>
      <w:r w:rsidRPr="00063369">
        <w:rPr>
          <w:rFonts w:asciiTheme="majorHAnsi" w:eastAsia="Times New Roman" w:hAnsiTheme="majorHAnsi" w:cstheme="majorHAnsi"/>
          <w:bCs/>
          <w:szCs w:val="24"/>
          <w:lang w:eastAsia="it-IT"/>
        </w:rPr>
        <w:t xml:space="preserve">necessario tentare ogni azione al fine di non penalizzare il territorio, tutelare i dipendenti dell'Ufficio delle Dogane dell'Aquila e tutti gli operatori dell'intera provincia aquilana; </w:t>
      </w:r>
    </w:p>
    <w:p w14:paraId="7C0E8C3A" w14:textId="77777777" w:rsidR="00063369" w:rsidRDefault="00063369">
      <w:pPr>
        <w:spacing w:line="240" w:lineRule="auto"/>
        <w:rPr>
          <w:rFonts w:asciiTheme="majorHAnsi" w:eastAsia="Times New Roman" w:hAnsiTheme="majorHAnsi" w:cstheme="majorHAnsi"/>
          <w:bCs/>
          <w:szCs w:val="24"/>
          <w:lang w:eastAsia="it-IT"/>
        </w:rPr>
      </w:pPr>
      <w:r>
        <w:rPr>
          <w:rFonts w:asciiTheme="majorHAnsi" w:eastAsia="Times New Roman" w:hAnsiTheme="majorHAnsi" w:cstheme="majorHAnsi"/>
          <w:bCs/>
          <w:szCs w:val="24"/>
          <w:lang w:eastAsia="it-IT"/>
        </w:rPr>
        <w:br w:type="page"/>
      </w:r>
    </w:p>
    <w:p w14:paraId="34B6D9E5"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Cs/>
          <w:szCs w:val="24"/>
          <w:lang w:eastAsia="it-IT"/>
        </w:rPr>
      </w:pPr>
    </w:p>
    <w:p w14:paraId="65D20486" w14:textId="77777777" w:rsidR="00293C8B" w:rsidRPr="00063369" w:rsidRDefault="00293C8B" w:rsidP="00293C8B">
      <w:pPr>
        <w:autoSpaceDE w:val="0"/>
        <w:autoSpaceDN w:val="0"/>
        <w:adjustRightInd w:val="0"/>
        <w:spacing w:line="240" w:lineRule="auto"/>
        <w:jc w:val="center"/>
        <w:rPr>
          <w:rFonts w:asciiTheme="majorHAnsi" w:eastAsia="Times New Roman" w:hAnsiTheme="majorHAnsi" w:cstheme="majorHAnsi"/>
          <w:b/>
          <w:bCs/>
          <w:szCs w:val="24"/>
          <w:lang w:eastAsia="it-IT"/>
        </w:rPr>
      </w:pPr>
      <w:r w:rsidRPr="00063369">
        <w:rPr>
          <w:rFonts w:asciiTheme="majorHAnsi" w:eastAsia="Times New Roman" w:hAnsiTheme="majorHAnsi" w:cstheme="majorHAnsi"/>
          <w:b/>
          <w:bCs/>
          <w:szCs w:val="24"/>
          <w:lang w:eastAsia="it-IT"/>
        </w:rPr>
        <w:t>IMPEGNA</w:t>
      </w:r>
    </w:p>
    <w:p w14:paraId="45047CD2" w14:textId="77777777" w:rsidR="00293C8B" w:rsidRPr="00063369" w:rsidRDefault="00293C8B" w:rsidP="00293C8B">
      <w:pPr>
        <w:autoSpaceDE w:val="0"/>
        <w:autoSpaceDN w:val="0"/>
        <w:adjustRightInd w:val="0"/>
        <w:spacing w:line="240" w:lineRule="auto"/>
        <w:jc w:val="center"/>
        <w:rPr>
          <w:rFonts w:asciiTheme="majorHAnsi" w:eastAsia="Times New Roman" w:hAnsiTheme="majorHAnsi" w:cstheme="majorHAnsi"/>
          <w:b/>
          <w:bCs/>
          <w:szCs w:val="24"/>
          <w:lang w:eastAsia="it-IT"/>
        </w:rPr>
      </w:pPr>
      <w:r w:rsidRPr="00063369">
        <w:rPr>
          <w:rFonts w:asciiTheme="majorHAnsi" w:eastAsia="Times New Roman" w:hAnsiTheme="majorHAnsi" w:cstheme="majorHAnsi"/>
          <w:b/>
          <w:bCs/>
          <w:szCs w:val="24"/>
          <w:lang w:eastAsia="it-IT"/>
        </w:rPr>
        <w:t>Il Sindaco e il Presidente del Consiglio</w:t>
      </w:r>
    </w:p>
    <w:p w14:paraId="58354C98"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b/>
          <w:bCs/>
          <w:szCs w:val="24"/>
          <w:lang w:eastAsia="it-IT"/>
        </w:rPr>
      </w:pPr>
    </w:p>
    <w:p w14:paraId="0FC847ED" w14:textId="77777777" w:rsidR="00293C8B" w:rsidRPr="00063369" w:rsidRDefault="00293C8B" w:rsidP="00293C8B">
      <w:pPr>
        <w:pStyle w:val="Paragrafoelenco"/>
        <w:numPr>
          <w:ilvl w:val="0"/>
          <w:numId w:val="7"/>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A costituire una delegazione che possa recarsi presso il Mef per incontrare il sottosegretario Leo, che si sta occupando di questo processo di riorganizzazione. La delegazione sarà formata, al pari di come già fatto per internazionalizzazione di INPS servizi, da Sindaco, presidente del Consiglio e tre consiglieri comunali di cui almeno uno di minoranza.</w:t>
      </w:r>
    </w:p>
    <w:p w14:paraId="117C075F" w14:textId="77777777" w:rsidR="00293C8B" w:rsidRPr="00063369" w:rsidRDefault="00293C8B" w:rsidP="00293C8B">
      <w:pPr>
        <w:pStyle w:val="Paragrafoelenco"/>
        <w:numPr>
          <w:ilvl w:val="0"/>
          <w:numId w:val="7"/>
        </w:numPr>
        <w:autoSpaceDE w:val="0"/>
        <w:autoSpaceDN w:val="0"/>
        <w:adjustRightInd w:val="0"/>
        <w:contextualSpacing w:val="0"/>
        <w:jc w:val="both"/>
        <w:rPr>
          <w:rFonts w:asciiTheme="majorHAnsi" w:eastAsia="Times New Roman" w:hAnsiTheme="majorHAnsi" w:cstheme="majorHAnsi"/>
          <w:bCs/>
        </w:rPr>
      </w:pPr>
      <w:r w:rsidRPr="00063369">
        <w:rPr>
          <w:rFonts w:asciiTheme="majorHAnsi" w:eastAsia="Times New Roman" w:hAnsiTheme="majorHAnsi" w:cstheme="majorHAnsi"/>
          <w:bCs/>
        </w:rPr>
        <w:t>Per le motivazioni testé esposte, pertanto, oltre a quello di Pescara, si potrebbe prevedere un Ufficio dirigenziale UADM di L’Aquila, con competenza per la provincia di L’Aquila, accorpando l’attuale Ufficio delle Dogane di L’Aquila, con la Sezione Operativa Territoriale di Avezzano, alla sezione distaccata di L’Aquila dell’Ufficio dei Monopoli per l’Abruzzo, oppure IN ALTERNATIVA si potrebbe prevedere un Ufficio dirigenziale UADM di L’Aquila-Teramo, con l’ulteriore accorpamento della SOT di Giulianova (TE), attualmente Sezione Operativa Territoriale dell’Ufficio delle Dogane di Pescara.</w:t>
      </w:r>
    </w:p>
    <w:p w14:paraId="5E338ACC"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szCs w:val="24"/>
          <w:lang w:eastAsia="it-IT"/>
        </w:rPr>
      </w:pPr>
    </w:p>
    <w:p w14:paraId="7A60924A" w14:textId="77777777" w:rsidR="00293C8B" w:rsidRPr="00063369" w:rsidRDefault="00293C8B" w:rsidP="00293C8B">
      <w:pPr>
        <w:autoSpaceDE w:val="0"/>
        <w:autoSpaceDN w:val="0"/>
        <w:adjustRightInd w:val="0"/>
        <w:spacing w:line="240" w:lineRule="auto"/>
        <w:jc w:val="both"/>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L’Aquila, lì 15 ottobre 2024</w:t>
      </w:r>
    </w:p>
    <w:p w14:paraId="57B16553"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b/>
          <w:bCs/>
          <w:szCs w:val="24"/>
          <w:lang w:eastAsia="it-IT"/>
        </w:rPr>
      </w:pPr>
      <w:r w:rsidRPr="00063369">
        <w:rPr>
          <w:rFonts w:asciiTheme="majorHAnsi" w:eastAsia="Times New Roman" w:hAnsiTheme="majorHAnsi" w:cstheme="majorHAnsi"/>
          <w:szCs w:val="24"/>
          <w:lang w:eastAsia="it-IT"/>
        </w:rPr>
        <w:tab/>
      </w:r>
      <w:r w:rsidRPr="00063369">
        <w:rPr>
          <w:rFonts w:asciiTheme="majorHAnsi" w:eastAsia="Times New Roman" w:hAnsiTheme="majorHAnsi" w:cstheme="majorHAnsi"/>
          <w:b/>
          <w:bCs/>
          <w:szCs w:val="24"/>
          <w:lang w:eastAsia="it-IT"/>
        </w:rPr>
        <w:t>I consiglieri comunali proponenti</w:t>
      </w:r>
    </w:p>
    <w:p w14:paraId="4B89051B"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Paolo Romano (L’Aquila Nuova)</w:t>
      </w:r>
    </w:p>
    <w:p w14:paraId="6295C27C"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Laura Cococcetta (L’Aquila Futura)</w:t>
      </w:r>
    </w:p>
    <w:p w14:paraId="2652FB8C"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Simona Giannangeli (L’Aquila Coraggiosa)</w:t>
      </w:r>
    </w:p>
    <w:p w14:paraId="5888DDEF"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Gianluca Marinelli (Lega Salvini Abruzzo)</w:t>
      </w:r>
    </w:p>
    <w:p w14:paraId="15B6FCE2"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Stefano Albano (Pd)</w:t>
      </w:r>
    </w:p>
    <w:p w14:paraId="28102286"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Fabio Frullo (Udc)</w:t>
      </w:r>
    </w:p>
    <w:p w14:paraId="0E093FE8"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Enrico Verini (Azione Noi al centro – L’Aquila viva e forte)</w:t>
      </w:r>
    </w:p>
    <w:p w14:paraId="13E556DD" w14:textId="77777777"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Gianni Padovani (99 L’Aquila)</w:t>
      </w:r>
    </w:p>
    <w:p w14:paraId="60421CDF" w14:textId="08837609" w:rsidR="00293C8B" w:rsidRPr="00063369" w:rsidRDefault="00293C8B" w:rsidP="00063369">
      <w:pPr>
        <w:tabs>
          <w:tab w:val="left" w:pos="3119"/>
        </w:tabs>
        <w:autoSpaceDE w:val="0"/>
        <w:autoSpaceDN w:val="0"/>
        <w:adjustRightInd w:val="0"/>
        <w:spacing w:line="240" w:lineRule="auto"/>
        <w:rPr>
          <w:rFonts w:asciiTheme="majorHAnsi" w:eastAsia="Times New Roman" w:hAnsiTheme="majorHAnsi" w:cstheme="majorHAnsi"/>
          <w:szCs w:val="24"/>
          <w:lang w:eastAsia="it-IT"/>
        </w:rPr>
      </w:pPr>
      <w:r w:rsidRPr="00063369">
        <w:rPr>
          <w:rFonts w:asciiTheme="majorHAnsi" w:eastAsia="Times New Roman" w:hAnsiTheme="majorHAnsi" w:cstheme="majorHAnsi"/>
          <w:szCs w:val="24"/>
          <w:lang w:eastAsia="it-IT"/>
        </w:rPr>
        <w:tab/>
        <w:t>Luigi Faccia (Civici e Indipendenti per Biondi</w:t>
      </w:r>
      <w:r w:rsidR="00063369">
        <w:rPr>
          <w:rFonts w:asciiTheme="majorHAnsi" w:eastAsia="Times New Roman" w:hAnsiTheme="majorHAnsi" w:cstheme="majorHAnsi"/>
          <w:szCs w:val="24"/>
          <w:lang w:eastAsia="it-IT"/>
        </w:rPr>
        <w:t>-</w:t>
      </w:r>
      <w:r w:rsidRPr="00063369">
        <w:rPr>
          <w:rFonts w:asciiTheme="majorHAnsi" w:eastAsia="Times New Roman" w:hAnsiTheme="majorHAnsi" w:cstheme="majorHAnsi"/>
          <w:szCs w:val="24"/>
          <w:lang w:eastAsia="it-IT"/>
        </w:rPr>
        <w:t>L’Aquila al centro)</w:t>
      </w:r>
    </w:p>
    <w:p w14:paraId="6BBADE69" w14:textId="77777777" w:rsidR="009417EE" w:rsidRDefault="009417EE" w:rsidP="007D2865">
      <w:pPr>
        <w:tabs>
          <w:tab w:val="left" w:pos="3261"/>
        </w:tabs>
        <w:autoSpaceDE w:val="0"/>
        <w:autoSpaceDN w:val="0"/>
        <w:adjustRightInd w:val="0"/>
        <w:spacing w:line="240" w:lineRule="auto"/>
        <w:rPr>
          <w:rFonts w:asciiTheme="majorHAnsi" w:hAnsiTheme="majorHAnsi" w:cstheme="majorHAnsi"/>
          <w:szCs w:val="24"/>
          <w:lang w:val="en-US"/>
        </w:rPr>
      </w:pPr>
    </w:p>
    <w:p w14:paraId="5937A743" w14:textId="3F0CDE59" w:rsidR="00CD379B" w:rsidRPr="00063369" w:rsidRDefault="000B4B0C" w:rsidP="007D2865">
      <w:pPr>
        <w:tabs>
          <w:tab w:val="left" w:pos="3261"/>
        </w:tabs>
        <w:autoSpaceDE w:val="0"/>
        <w:autoSpaceDN w:val="0"/>
        <w:adjustRightInd w:val="0"/>
        <w:spacing w:line="240" w:lineRule="auto"/>
        <w:rPr>
          <w:rFonts w:asciiTheme="majorHAnsi" w:hAnsiTheme="majorHAnsi" w:cstheme="majorHAnsi"/>
          <w:szCs w:val="24"/>
          <w:lang w:val="en-US"/>
        </w:rPr>
      </w:pPr>
      <w:r>
        <w:rPr>
          <w:rFonts w:asciiTheme="majorHAnsi" w:eastAsia="Times New Roman" w:hAnsiTheme="majorHAnsi" w:cstheme="majorHAnsi"/>
          <w:i/>
          <w:iCs/>
          <w:noProof/>
          <w:szCs w:val="24"/>
          <w:lang w:eastAsia="it-IT"/>
        </w:rPr>
        <w:drawing>
          <wp:inline distT="0" distB="0" distL="0" distR="0" wp14:anchorId="650E0E5D" wp14:editId="01FE31B5">
            <wp:extent cx="5892165" cy="2623820"/>
            <wp:effectExtent l="0" t="0" r="3175" b="5080"/>
            <wp:docPr id="139478151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92165" cy="2623820"/>
                    </a:xfrm>
                    <a:prstGeom prst="rect">
                      <a:avLst/>
                    </a:prstGeom>
                    <a:noFill/>
                    <a:ln>
                      <a:noFill/>
                    </a:ln>
                    <a:effectLst>
                      <a:softEdge rad="0"/>
                    </a:effectLst>
                  </pic:spPr>
                </pic:pic>
              </a:graphicData>
            </a:graphic>
          </wp:inline>
        </w:drawing>
      </w:r>
    </w:p>
    <w:sectPr w:rsidR="00CD379B" w:rsidRPr="00063369" w:rsidSect="00063369">
      <w:headerReference w:type="even" r:id="rId12"/>
      <w:headerReference w:type="default" r:id="rId13"/>
      <w:footerReference w:type="even" r:id="rId14"/>
      <w:footerReference w:type="default" r:id="rId15"/>
      <w:headerReference w:type="first" r:id="rId16"/>
      <w:footerReference w:type="first" r:id="rId17"/>
      <w:pgSz w:w="11906" w:h="16838"/>
      <w:pgMar w:top="238" w:right="1276" w:bottom="1134" w:left="1276"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1D2BDD" w14:textId="77777777" w:rsidR="002C024E" w:rsidRDefault="002C024E" w:rsidP="004561F8">
      <w:pPr>
        <w:spacing w:line="240" w:lineRule="auto"/>
      </w:pPr>
      <w:r>
        <w:separator/>
      </w:r>
    </w:p>
  </w:endnote>
  <w:endnote w:type="continuationSeparator" w:id="0">
    <w:p w14:paraId="5671EF63" w14:textId="77777777" w:rsidR="002C024E" w:rsidRDefault="002C024E" w:rsidP="004561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5E31A" w14:textId="77777777" w:rsidR="00DC7FE0" w:rsidRDefault="00DC7FE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27E681" w14:textId="33F5B147" w:rsidR="00A246EA" w:rsidRDefault="00D555FC" w:rsidP="00471FAD">
    <w:pPr>
      <w:pStyle w:val="Pidipagina"/>
      <w:ind w:hanging="567"/>
      <w:jc w:val="center"/>
    </w:pPr>
    <w:r>
      <w:rPr>
        <w:noProof/>
      </w:rPr>
      <w:drawing>
        <wp:inline distT="0" distB="0" distL="0" distR="0" wp14:anchorId="5D302D96" wp14:editId="6AA24988">
          <wp:extent cx="7541260" cy="1039218"/>
          <wp:effectExtent l="0" t="0" r="2540" b="254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stretch>
                    <a:fillRect/>
                  </a:stretch>
                </pic:blipFill>
                <pic:spPr>
                  <a:xfrm>
                    <a:off x="0" y="0"/>
                    <a:ext cx="7613082" cy="104911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35C337" w14:textId="77777777" w:rsidR="00DC7FE0" w:rsidRDefault="00DC7F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241F14" w14:textId="77777777" w:rsidR="002C024E" w:rsidRDefault="002C024E" w:rsidP="004561F8">
      <w:pPr>
        <w:spacing w:line="240" w:lineRule="auto"/>
      </w:pPr>
      <w:r>
        <w:separator/>
      </w:r>
    </w:p>
  </w:footnote>
  <w:footnote w:type="continuationSeparator" w:id="0">
    <w:p w14:paraId="5ED013F4" w14:textId="77777777" w:rsidR="002C024E" w:rsidRDefault="002C024E" w:rsidP="004561F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9F336" w14:textId="5F5195CC" w:rsidR="00DC7FE0" w:rsidRDefault="009417EE">
    <w:pPr>
      <w:pStyle w:val="Intestazione"/>
    </w:pPr>
    <w:r>
      <w:rPr>
        <w:noProof/>
      </w:rPr>
      <w:pict w14:anchorId="57EC99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5203372" o:spid="_x0000_s1027" type="#_x0000_t75" alt="" style="position:absolute;margin-left:0;margin-top:0;width:516pt;height:406.8pt;z-index:-251653120;mso-wrap-edited:f;mso-width-percent:0;mso-height-percent:0;mso-position-horizontal:center;mso-position-horizontal-relative:margin;mso-position-vertical:center;mso-position-vertical-relative:margin;mso-width-percent:0;mso-height-percent:0" o:allowincell="f">
          <v:imagedata r:id="rId1" o:title="CARTA INTESTATA ULTIMA-01 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8A519F" w14:textId="73087D99" w:rsidR="00A246EA" w:rsidRDefault="009417EE" w:rsidP="0020540E">
    <w:pPr>
      <w:pStyle w:val="Intestazione"/>
      <w:ind w:left="-567"/>
      <w:jc w:val="center"/>
    </w:pPr>
    <w:r>
      <w:rPr>
        <w:noProof/>
      </w:rPr>
      <w:pict w14:anchorId="06CCC5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5203373" o:spid="_x0000_s1026" type="#_x0000_t75" alt="" style="position:absolute;left:0;text-align:left;margin-left:0;margin-top:0;width:516pt;height:406.8pt;z-index:-251650048;mso-wrap-edited:f;mso-width-percent:0;mso-height-percent:0;mso-position-horizontal:center;mso-position-horizontal-relative:margin;mso-position-vertical:center;mso-position-vertical-relative:margin;mso-width-percent:0;mso-height-percent:0" o:allowincell="f">
          <v:imagedata r:id="rId1" o:title="CARTA INTESTATA ULTIMA-01 2"/>
          <w10:wrap anchorx="margin" anchory="margin"/>
        </v:shape>
      </w:pict>
    </w:r>
    <w:r w:rsidR="00A67E7D">
      <w:rPr>
        <w:noProof/>
      </w:rPr>
      <w:drawing>
        <wp:inline distT="0" distB="0" distL="0" distR="0" wp14:anchorId="7289B67D" wp14:editId="5878CFD1">
          <wp:extent cx="7541260" cy="1445142"/>
          <wp:effectExtent l="0" t="0" r="2540" b="317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2"/>
                  <a:stretch>
                    <a:fillRect/>
                  </a:stretch>
                </pic:blipFill>
                <pic:spPr>
                  <a:xfrm>
                    <a:off x="0" y="0"/>
                    <a:ext cx="7623661" cy="146093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52E405" w14:textId="249D8F63" w:rsidR="00DC7FE0" w:rsidRDefault="009417EE">
    <w:pPr>
      <w:pStyle w:val="Intestazione"/>
    </w:pPr>
    <w:r>
      <w:rPr>
        <w:noProof/>
      </w:rPr>
      <w:pict w14:anchorId="4B929A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5203371" o:spid="_x0000_s1025" type="#_x0000_t75" alt="" style="position:absolute;margin-left:0;margin-top:0;width:516pt;height:406.8pt;z-index:-251656192;mso-wrap-edited:f;mso-width-percent:0;mso-height-percent:0;mso-position-horizontal:center;mso-position-horizontal-relative:margin;mso-position-vertical:center;mso-position-vertical-relative:margin;mso-width-percent:0;mso-height-percent:0" o:allowincell="f">
          <v:imagedata r:id="rId1" o:title="CARTA INTESTATA ULTIMA-01 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EB5BA6"/>
    <w:multiLevelType w:val="hybridMultilevel"/>
    <w:tmpl w:val="73E21B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CFC2D34"/>
    <w:multiLevelType w:val="hybridMultilevel"/>
    <w:tmpl w:val="9C201E1C"/>
    <w:lvl w:ilvl="0" w:tplc="0410000B">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1E502BE8"/>
    <w:multiLevelType w:val="hybridMultilevel"/>
    <w:tmpl w:val="406268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4A71C90"/>
    <w:multiLevelType w:val="hybridMultilevel"/>
    <w:tmpl w:val="F2ECCB8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7B85039"/>
    <w:multiLevelType w:val="hybridMultilevel"/>
    <w:tmpl w:val="DB922E0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FD217CB"/>
    <w:multiLevelType w:val="hybridMultilevel"/>
    <w:tmpl w:val="F1BC81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E474540"/>
    <w:multiLevelType w:val="hybridMultilevel"/>
    <w:tmpl w:val="6A524B64"/>
    <w:lvl w:ilvl="0" w:tplc="0F688672">
      <w:start w:val="3"/>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597419C"/>
    <w:multiLevelType w:val="hybridMultilevel"/>
    <w:tmpl w:val="86863BAC"/>
    <w:lvl w:ilvl="0" w:tplc="0410000B">
      <w:start w:val="1"/>
      <w:numFmt w:val="bullet"/>
      <w:lvlText w:val=""/>
      <w:lvlJc w:val="left"/>
      <w:pPr>
        <w:ind w:left="1069" w:hanging="360"/>
      </w:pPr>
      <w:rPr>
        <w:rFonts w:ascii="Wingdings" w:hAnsi="Wingdings"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8" w15:restartNumberingAfterBreak="0">
    <w:nsid w:val="69A2331D"/>
    <w:multiLevelType w:val="hybridMultilevel"/>
    <w:tmpl w:val="3634B8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51744373">
    <w:abstractNumId w:val="6"/>
  </w:num>
  <w:num w:numId="2" w16cid:durableId="612591472">
    <w:abstractNumId w:val="8"/>
  </w:num>
  <w:num w:numId="3" w16cid:durableId="18431580">
    <w:abstractNumId w:val="1"/>
  </w:num>
  <w:num w:numId="4" w16cid:durableId="366687907">
    <w:abstractNumId w:val="2"/>
  </w:num>
  <w:num w:numId="5" w16cid:durableId="1306618752">
    <w:abstractNumId w:val="7"/>
  </w:num>
  <w:num w:numId="6" w16cid:durableId="1399549584">
    <w:abstractNumId w:val="3"/>
  </w:num>
  <w:num w:numId="7" w16cid:durableId="1229808671">
    <w:abstractNumId w:val="4"/>
  </w:num>
  <w:num w:numId="8" w16cid:durableId="963466301">
    <w:abstractNumId w:val="5"/>
  </w:num>
  <w:num w:numId="9" w16cid:durableId="2067222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proofState w:grammar="clean"/>
  <w:defaultTabStop w:val="708"/>
  <w:hyphenationZone w:val="283"/>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291"/>
    <w:rsid w:val="000458EF"/>
    <w:rsid w:val="00063369"/>
    <w:rsid w:val="000B4B0C"/>
    <w:rsid w:val="000B7C52"/>
    <w:rsid w:val="00113AD6"/>
    <w:rsid w:val="00154DC2"/>
    <w:rsid w:val="001917D1"/>
    <w:rsid w:val="001921F1"/>
    <w:rsid w:val="001C52EA"/>
    <w:rsid w:val="001E0153"/>
    <w:rsid w:val="001F1BCB"/>
    <w:rsid w:val="0020540E"/>
    <w:rsid w:val="00265DEB"/>
    <w:rsid w:val="00293C8B"/>
    <w:rsid w:val="002A1F8D"/>
    <w:rsid w:val="002A4CC9"/>
    <w:rsid w:val="002A72D4"/>
    <w:rsid w:val="002B34C3"/>
    <w:rsid w:val="002C024E"/>
    <w:rsid w:val="003242EB"/>
    <w:rsid w:val="00325082"/>
    <w:rsid w:val="00325969"/>
    <w:rsid w:val="0035390D"/>
    <w:rsid w:val="00376287"/>
    <w:rsid w:val="003C78BE"/>
    <w:rsid w:val="003E15AA"/>
    <w:rsid w:val="003F1742"/>
    <w:rsid w:val="00410641"/>
    <w:rsid w:val="004561F8"/>
    <w:rsid w:val="0046048A"/>
    <w:rsid w:val="00471FAD"/>
    <w:rsid w:val="00497D3F"/>
    <w:rsid w:val="004A5538"/>
    <w:rsid w:val="004B4810"/>
    <w:rsid w:val="004C0852"/>
    <w:rsid w:val="004D32A9"/>
    <w:rsid w:val="004E701A"/>
    <w:rsid w:val="005477CC"/>
    <w:rsid w:val="00591D73"/>
    <w:rsid w:val="005C3A79"/>
    <w:rsid w:val="005F6A71"/>
    <w:rsid w:val="00604257"/>
    <w:rsid w:val="00612C8F"/>
    <w:rsid w:val="006579CD"/>
    <w:rsid w:val="00670CEC"/>
    <w:rsid w:val="0067597F"/>
    <w:rsid w:val="0069296D"/>
    <w:rsid w:val="006A031A"/>
    <w:rsid w:val="006A10A2"/>
    <w:rsid w:val="00710B05"/>
    <w:rsid w:val="00777440"/>
    <w:rsid w:val="00791F7C"/>
    <w:rsid w:val="007A4291"/>
    <w:rsid w:val="007A5541"/>
    <w:rsid w:val="007C1EFD"/>
    <w:rsid w:val="007D2865"/>
    <w:rsid w:val="007F1E5C"/>
    <w:rsid w:val="00840C02"/>
    <w:rsid w:val="00867C59"/>
    <w:rsid w:val="00885681"/>
    <w:rsid w:val="0089119D"/>
    <w:rsid w:val="008B3BEF"/>
    <w:rsid w:val="008C0F5F"/>
    <w:rsid w:val="008F1431"/>
    <w:rsid w:val="008F1AC0"/>
    <w:rsid w:val="00926D9F"/>
    <w:rsid w:val="009417EE"/>
    <w:rsid w:val="00945FA5"/>
    <w:rsid w:val="009A2E3E"/>
    <w:rsid w:val="009A7163"/>
    <w:rsid w:val="00A011AE"/>
    <w:rsid w:val="00A246EA"/>
    <w:rsid w:val="00A41724"/>
    <w:rsid w:val="00A44692"/>
    <w:rsid w:val="00A5173D"/>
    <w:rsid w:val="00A67E7D"/>
    <w:rsid w:val="00AA72BE"/>
    <w:rsid w:val="00AF7A38"/>
    <w:rsid w:val="00B13AB7"/>
    <w:rsid w:val="00B46703"/>
    <w:rsid w:val="00B81326"/>
    <w:rsid w:val="00B81CF8"/>
    <w:rsid w:val="00B928EC"/>
    <w:rsid w:val="00BB313D"/>
    <w:rsid w:val="00BB6653"/>
    <w:rsid w:val="00BD5AD3"/>
    <w:rsid w:val="00C04D1A"/>
    <w:rsid w:val="00C05ACD"/>
    <w:rsid w:val="00C12035"/>
    <w:rsid w:val="00C130BB"/>
    <w:rsid w:val="00C17422"/>
    <w:rsid w:val="00C26A03"/>
    <w:rsid w:val="00CA7E17"/>
    <w:rsid w:val="00CD379B"/>
    <w:rsid w:val="00D07546"/>
    <w:rsid w:val="00D33CF4"/>
    <w:rsid w:val="00D555FC"/>
    <w:rsid w:val="00D92C2D"/>
    <w:rsid w:val="00DC7FE0"/>
    <w:rsid w:val="00DF4402"/>
    <w:rsid w:val="00E87C25"/>
    <w:rsid w:val="00E97E2F"/>
    <w:rsid w:val="00EA2C55"/>
    <w:rsid w:val="00F31502"/>
    <w:rsid w:val="00F44EA2"/>
    <w:rsid w:val="00FE77FB"/>
    <w:rsid w:val="00FF680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924D79"/>
  <w14:defaultImageDpi w14:val="300"/>
  <w15:docId w15:val="{FFA76B03-D645-A744-A873-6A8CE1633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504C"/>
    <w:pPr>
      <w:spacing w:line="276" w:lineRule="auto"/>
    </w:pPr>
    <w:rPr>
      <w:sz w:val="24"/>
      <w:szCs w:val="22"/>
      <w:lang w:eastAsia="en-US"/>
    </w:rPr>
  </w:style>
  <w:style w:type="paragraph" w:styleId="Titolo1">
    <w:name w:val="heading 1"/>
    <w:basedOn w:val="Normale"/>
    <w:next w:val="Normale"/>
    <w:link w:val="Titolo1Carattere"/>
    <w:uiPriority w:val="9"/>
    <w:qFormat/>
    <w:rsid w:val="00926D9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A4291"/>
    <w:pPr>
      <w:spacing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A4291"/>
    <w:rPr>
      <w:rFonts w:ascii="Tahoma" w:hAnsi="Tahoma" w:cs="Tahoma"/>
      <w:sz w:val="16"/>
      <w:szCs w:val="16"/>
    </w:rPr>
  </w:style>
  <w:style w:type="paragraph" w:styleId="Intestazione">
    <w:name w:val="header"/>
    <w:basedOn w:val="Normale"/>
    <w:link w:val="IntestazioneCarattere"/>
    <w:uiPriority w:val="99"/>
    <w:unhideWhenUsed/>
    <w:rsid w:val="007A429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7A4291"/>
  </w:style>
  <w:style w:type="paragraph" w:styleId="Pidipagina">
    <w:name w:val="footer"/>
    <w:basedOn w:val="Normale"/>
    <w:link w:val="PidipaginaCarattere"/>
    <w:uiPriority w:val="99"/>
    <w:unhideWhenUsed/>
    <w:rsid w:val="007A429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A4291"/>
  </w:style>
  <w:style w:type="paragraph" w:styleId="Paragrafoelenco">
    <w:name w:val="List Paragraph"/>
    <w:basedOn w:val="Normale"/>
    <w:uiPriority w:val="34"/>
    <w:qFormat/>
    <w:rsid w:val="00DF4402"/>
    <w:pPr>
      <w:spacing w:line="240" w:lineRule="auto"/>
      <w:ind w:left="720"/>
      <w:contextualSpacing/>
    </w:pPr>
    <w:rPr>
      <w:rFonts w:asciiTheme="minorHAnsi" w:eastAsiaTheme="minorEastAsia" w:hAnsiTheme="minorHAnsi" w:cstheme="minorBidi"/>
      <w:szCs w:val="24"/>
      <w:lang w:eastAsia="it-IT"/>
    </w:rPr>
  </w:style>
  <w:style w:type="character" w:customStyle="1" w:styleId="Titolo1Carattere">
    <w:name w:val="Titolo 1 Carattere"/>
    <w:basedOn w:val="Carpredefinitoparagrafo"/>
    <w:link w:val="Titolo1"/>
    <w:uiPriority w:val="9"/>
    <w:rsid w:val="00926D9F"/>
    <w:rPr>
      <w:rFonts w:asciiTheme="majorHAnsi" w:eastAsiaTheme="majorEastAsia" w:hAnsiTheme="majorHAnsi" w:cstheme="majorBidi"/>
      <w:color w:val="365F91"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721E40C621D4F4887CE4C942ADFE07D" ma:contentTypeVersion="12" ma:contentTypeDescription="Creare un nuovo documento." ma:contentTypeScope="" ma:versionID="d28a41365a5c617703240641205ae87a">
  <xsd:schema xmlns:xsd="http://www.w3.org/2001/XMLSchema" xmlns:xs="http://www.w3.org/2001/XMLSchema" xmlns:p="http://schemas.microsoft.com/office/2006/metadata/properties" xmlns:ns2="a6c9be29-abbe-40b7-88fd-91a0d26a6f84" xmlns:ns3="07694a2e-580b-4b39-b6db-1675148fd51c" targetNamespace="http://schemas.microsoft.com/office/2006/metadata/properties" ma:root="true" ma:fieldsID="f65da5d5ef07209c3f2fde9c6ca33e8c" ns2:_="" ns3:_="">
    <xsd:import namespace="a6c9be29-abbe-40b7-88fd-91a0d26a6f84"/>
    <xsd:import namespace="07694a2e-580b-4b39-b6db-1675148fd51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c9be29-abbe-40b7-88fd-91a0d26a6f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 immagine" ma:readOnly="false" ma:fieldId="{5cf76f15-5ced-4ddc-b409-7134ff3c332f}" ma:taxonomyMulti="true" ma:sspId="c34e6a4a-0cd9-4b82-82a1-b5df2ab0acc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694a2e-580b-4b39-b6db-1675148fd51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3e7764-755c-4423-884c-78897cef8a08}" ma:internalName="TaxCatchAll" ma:showField="CatchAllData" ma:web="07694a2e-580b-4b39-b6db-1675148fd5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7694a2e-580b-4b39-b6db-1675148fd51c" xsi:nil="true"/>
    <lcf76f155ced4ddcb4097134ff3c332f xmlns="a6c9be29-abbe-40b7-88fd-91a0d26a6f8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3D95EC-B6AB-D244-8B23-365E5A21FE85}">
  <ds:schemaRefs>
    <ds:schemaRef ds:uri="http://schemas.openxmlformats.org/officeDocument/2006/bibliography"/>
  </ds:schemaRefs>
</ds:datastoreItem>
</file>

<file path=customXml/itemProps2.xml><?xml version="1.0" encoding="utf-8"?>
<ds:datastoreItem xmlns:ds="http://schemas.openxmlformats.org/officeDocument/2006/customXml" ds:itemID="{B2AEBEE6-158D-43E1-8C1D-7DB765463C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c9be29-abbe-40b7-88fd-91a0d26a6f84"/>
    <ds:schemaRef ds:uri="07694a2e-580b-4b39-b6db-1675148fd5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485D05-D59C-4A72-B7B7-8FB386FF1A3D}">
  <ds:schemaRefs>
    <ds:schemaRef ds:uri="http://schemas.microsoft.com/sharepoint/v3/contenttype/forms"/>
  </ds:schemaRefs>
</ds:datastoreItem>
</file>

<file path=customXml/itemProps4.xml><?xml version="1.0" encoding="utf-8"?>
<ds:datastoreItem xmlns:ds="http://schemas.openxmlformats.org/officeDocument/2006/customXml" ds:itemID="{A5CFE561-4815-4691-98A1-84974345F481}">
  <ds:schemaRefs>
    <ds:schemaRef ds:uri="http://schemas.microsoft.com/office/2006/metadata/properties"/>
    <ds:schemaRef ds:uri="http://schemas.microsoft.com/office/infopath/2007/PartnerControls"/>
    <ds:schemaRef ds:uri="a2971780-3979-4c82-a36c-4ce7cf57c06d"/>
    <ds:schemaRef ds:uri="bb5f0b25-3e20-48d4-b722-84f28e9c63e5"/>
    <ds:schemaRef ds:uri="07694a2e-580b-4b39-b6db-1675148fd51c"/>
    <ds:schemaRef ds:uri="a6c9be29-abbe-40b7-88fd-91a0d26a6f84"/>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1292</Words>
  <Characters>7366</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8641</CharactersWithSpaces>
  <SharedDoc>false</SharedDoc>
  <HLinks>
    <vt:vector size="12" baseType="variant">
      <vt:variant>
        <vt:i4>589917</vt:i4>
      </vt:variant>
      <vt:variant>
        <vt:i4>2062</vt:i4>
      </vt:variant>
      <vt:variant>
        <vt:i4>1025</vt:i4>
      </vt:variant>
      <vt:variant>
        <vt:i4>1</vt:i4>
      </vt:variant>
      <vt:variant>
        <vt:lpwstr>Schermata 2015-03-23 alle 20</vt:lpwstr>
      </vt:variant>
      <vt:variant>
        <vt:lpwstr/>
      </vt:variant>
      <vt:variant>
        <vt:i4>589917</vt:i4>
      </vt:variant>
      <vt:variant>
        <vt:i4>2066</vt:i4>
      </vt:variant>
      <vt:variant>
        <vt:i4>1026</vt:i4>
      </vt:variant>
      <vt:variant>
        <vt:i4>1</vt:i4>
      </vt:variant>
      <vt:variant>
        <vt:lpwstr>Schermata 2015-03-23 alle 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dc:creator>
  <cp:keywords/>
  <cp:lastModifiedBy>Fabrizio Caporale</cp:lastModifiedBy>
  <cp:revision>10</cp:revision>
  <dcterms:created xsi:type="dcterms:W3CDTF">2024-10-15T11:28:00Z</dcterms:created>
  <dcterms:modified xsi:type="dcterms:W3CDTF">2024-10-15T11:43:00Z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0x0101009721E40C621D4F4887CE4C942ADFE07D</vt:lpwstr>
  </property>
  <property fmtid="{D5CDD505-2E9C-101B-9397-08002B2CF9AE}" pid="3" name="MediaServiceImageTags">
    <vt:lpwstr/>
  </property>
</Properties>
</file>